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21EC6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D71329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D71329">
        <w:rPr>
          <w:rFonts w:ascii="Times New Roman" w:hAnsi="Times New Roman"/>
          <w:b/>
        </w:rPr>
        <w:t xml:space="preserve">Устройство ограждения территории ТФК по ул. Барабинская,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21EC6">
        <w:rPr>
          <w:rFonts w:ascii="Times New Roman" w:hAnsi="Times New Roman"/>
          <w:color w:val="000000"/>
          <w:lang w:eastAsia="en-US"/>
        </w:rPr>
        <w:t>10.01.2022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21EC6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21EC6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21EC6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21EC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C21EC6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21EC6">
        <w:rPr>
          <w:rFonts w:ascii="Times New Roman" w:hAnsi="Times New Roman"/>
          <w:color w:val="000000"/>
          <w:lang w:eastAsia="en-US"/>
        </w:rPr>
        <w:t>10.02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21EC6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21EC6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21EC6">
        <w:rPr>
          <w:rFonts w:ascii="Times New Roman" w:hAnsi="Times New Roman"/>
          <w:color w:val="000000"/>
          <w:lang w:eastAsia="en-US"/>
        </w:rPr>
        <w:t>02.2022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21EC6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B91A3A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EFB3-15B5-4BFB-B25A-363EA3D3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2022-01-13T03:49:00Z</dcterms:created>
  <dcterms:modified xsi:type="dcterms:W3CDTF">2022-01-13T03:49:00Z</dcterms:modified>
</cp:coreProperties>
</file>